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pis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 t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sch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zky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18.11.2021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7.C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58%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Informace ohledn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testov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a karant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ny neo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kovan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 xml:space="preserve">ch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k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- web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dy.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Nutnost sledovat web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koly a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 xml:space="preserve">dy,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ci maj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s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itelkou tak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skupinu na Instagramu.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Prosp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ch - 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 sleduj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Bakal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>e,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apeluje na kontrolu a d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>slednost dom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c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pravy, ne v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echny d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ti pou</w:t>
      </w:r>
      <w:r>
        <w:rPr>
          <w:rStyle w:val="Žádný"/>
          <w:rFonts w:cs="Arial Unicode MS" w:eastAsia="Arial Unicode MS" w:hint="default"/>
          <w:rtl w:val="0"/>
        </w:rPr>
        <w:t>ží</w:t>
      </w:r>
      <w:r>
        <w:rPr>
          <w:rStyle w:val="Žádný"/>
          <w:rFonts w:cs="Arial Unicode MS" w:eastAsia="Arial Unicode MS"/>
          <w:rtl w:val="0"/>
        </w:rPr>
        <w:t>vaj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di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>e - pap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rov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nebo elektronick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. Studijn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probl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my podle pot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eby pak 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konzultuj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se z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konn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mi z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stupci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i jedn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 xml:space="preserve">ve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kole.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 Chov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- v 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pad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probl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mu 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neprodlen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 informuje. Celkov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se postupn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zlep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uje.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6. V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no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pr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zdniny by m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ly za</w:t>
      </w:r>
      <w:r>
        <w:rPr>
          <w:rStyle w:val="Žádný"/>
          <w:rFonts w:cs="Arial Unicode MS" w:eastAsia="Arial Unicode MS" w:hint="default"/>
          <w:rtl w:val="0"/>
        </w:rPr>
        <w:t>čí</w:t>
      </w:r>
      <w:r>
        <w:rPr>
          <w:rStyle w:val="Žádný"/>
          <w:rFonts w:cs="Arial Unicode MS" w:eastAsia="Arial Unicode MS"/>
          <w:rtl w:val="0"/>
        </w:rPr>
        <w:t>nat 23.12.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7. r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>zn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- dotazy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ev</w:t>
      </w:r>
      <w:r>
        <w:rPr>
          <w:rStyle w:val="Žádný"/>
          <w:rFonts w:cs="Arial Unicode MS" w:eastAsia="Arial Unicode MS" w:hint="default"/>
          <w:rtl w:val="0"/>
        </w:rPr>
        <w:t>áž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ohledn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platby ly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a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sk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ho 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cviku, odkaz na hospod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 xml:space="preserve">ku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koly.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Po ukon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sledovaly individu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ln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hovory.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